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222D" w14:textId="77777777" w:rsidR="00E474D7" w:rsidRPr="00E474D7" w:rsidRDefault="00E474D7" w:rsidP="00E474D7">
      <w:pPr>
        <w:pStyle w:val="Heading1"/>
        <w:rPr>
          <w:lang w:val="en-GB"/>
        </w:rPr>
      </w:pPr>
      <w:r w:rsidRPr="00E474D7">
        <w:rPr>
          <w:lang w:val="en-GB"/>
        </w:rPr>
        <w:t xml:space="preserve">Kako </w:t>
      </w:r>
      <w:proofErr w:type="spellStart"/>
      <w:r w:rsidRPr="00E474D7">
        <w:rPr>
          <w:lang w:val="en-GB"/>
        </w:rPr>
        <w:t>promeniti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pretežnu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delatnost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firme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kod</w:t>
      </w:r>
      <w:proofErr w:type="spellEnd"/>
      <w:r w:rsidRPr="00E474D7">
        <w:rPr>
          <w:lang w:val="en-GB"/>
        </w:rPr>
        <w:t xml:space="preserve"> APR-a?</w:t>
      </w:r>
    </w:p>
    <w:p w14:paraId="42F9EF1D" w14:textId="77777777" w:rsidR="00E474D7" w:rsidRPr="00E474D7" w:rsidRDefault="00E474D7" w:rsidP="00E474D7">
      <w:pPr>
        <w:rPr>
          <w:lang w:val="en-GB"/>
        </w:rPr>
      </w:pPr>
      <w:proofErr w:type="spellStart"/>
      <w:r w:rsidRPr="00E474D7">
        <w:rPr>
          <w:b/>
          <w:bCs/>
          <w:lang w:val="en-GB"/>
        </w:rPr>
        <w:t>Promena</w:t>
      </w:r>
      <w:proofErr w:type="spellEnd"/>
      <w:r w:rsidRPr="00E474D7">
        <w:rPr>
          <w:b/>
          <w:bCs/>
          <w:lang w:val="en-GB"/>
        </w:rPr>
        <w:t xml:space="preserve"> </w:t>
      </w:r>
      <w:proofErr w:type="spellStart"/>
      <w:r w:rsidRPr="00E474D7">
        <w:rPr>
          <w:b/>
          <w:bCs/>
          <w:lang w:val="en-GB"/>
        </w:rPr>
        <w:t>pretežne</w:t>
      </w:r>
      <w:proofErr w:type="spellEnd"/>
      <w:r w:rsidRPr="00E474D7">
        <w:rPr>
          <w:b/>
          <w:bCs/>
          <w:lang w:val="en-GB"/>
        </w:rPr>
        <w:t xml:space="preserve"> </w:t>
      </w:r>
      <w:proofErr w:type="spellStart"/>
      <w:r w:rsidRPr="00E474D7">
        <w:rPr>
          <w:b/>
          <w:bCs/>
          <w:lang w:val="en-GB"/>
        </w:rPr>
        <w:t>delatnosti</w:t>
      </w:r>
      <w:proofErr w:type="spellEnd"/>
      <w:r w:rsidRPr="00E474D7">
        <w:rPr>
          <w:b/>
          <w:bCs/>
          <w:lang w:val="en-GB"/>
        </w:rPr>
        <w:t xml:space="preserve"> </w:t>
      </w:r>
      <w:proofErr w:type="spellStart"/>
      <w:r w:rsidRPr="00E474D7">
        <w:rPr>
          <w:b/>
          <w:bCs/>
          <w:lang w:val="en-GB"/>
        </w:rPr>
        <w:t>firme</w:t>
      </w:r>
      <w:proofErr w:type="spellEnd"/>
      <w:r w:rsidRPr="00E474D7">
        <w:rPr>
          <w:lang w:val="en-GB"/>
        </w:rPr>
        <w:t xml:space="preserve"> je </w:t>
      </w:r>
      <w:proofErr w:type="spellStart"/>
      <w:r w:rsidRPr="00E474D7">
        <w:rPr>
          <w:lang w:val="en-GB"/>
        </w:rPr>
        <w:t>uobičajen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postupak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kada</w:t>
      </w:r>
      <w:proofErr w:type="spellEnd"/>
      <w:r w:rsidRPr="00E474D7">
        <w:rPr>
          <w:lang w:val="en-GB"/>
        </w:rPr>
        <w:t xml:space="preserve"> se </w:t>
      </w:r>
      <w:proofErr w:type="spellStart"/>
      <w:r w:rsidRPr="00E474D7">
        <w:rPr>
          <w:lang w:val="en-GB"/>
        </w:rPr>
        <w:t>poslovanje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kompanije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usmeri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na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druga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područja</w:t>
      </w:r>
      <w:proofErr w:type="spellEnd"/>
      <w:r w:rsidRPr="00E474D7">
        <w:rPr>
          <w:lang w:val="en-GB"/>
        </w:rPr>
        <w:t xml:space="preserve">. </w:t>
      </w:r>
      <w:proofErr w:type="spellStart"/>
      <w:r w:rsidRPr="00E474D7">
        <w:rPr>
          <w:lang w:val="en-GB"/>
        </w:rPr>
        <w:t>Agencija</w:t>
      </w:r>
      <w:proofErr w:type="spellEnd"/>
      <w:r w:rsidRPr="00E474D7">
        <w:rPr>
          <w:lang w:val="en-GB"/>
        </w:rPr>
        <w:t xml:space="preserve"> za </w:t>
      </w:r>
      <w:proofErr w:type="spellStart"/>
      <w:r w:rsidRPr="00E474D7">
        <w:rPr>
          <w:lang w:val="en-GB"/>
        </w:rPr>
        <w:t>privredne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registre</w:t>
      </w:r>
      <w:proofErr w:type="spellEnd"/>
      <w:r w:rsidRPr="00E474D7">
        <w:rPr>
          <w:lang w:val="en-GB"/>
        </w:rPr>
        <w:t xml:space="preserve"> (APR) je </w:t>
      </w:r>
      <w:proofErr w:type="spellStart"/>
      <w:r w:rsidRPr="00E474D7">
        <w:rPr>
          <w:lang w:val="en-GB"/>
        </w:rPr>
        <w:t>nadležna</w:t>
      </w:r>
      <w:proofErr w:type="spellEnd"/>
      <w:r w:rsidRPr="00E474D7">
        <w:rPr>
          <w:lang w:val="en-GB"/>
        </w:rPr>
        <w:t xml:space="preserve"> za </w:t>
      </w:r>
      <w:proofErr w:type="spellStart"/>
      <w:r w:rsidRPr="00E474D7">
        <w:rPr>
          <w:lang w:val="en-GB"/>
        </w:rPr>
        <w:t>ovu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vrstu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registracije</w:t>
      </w:r>
      <w:proofErr w:type="spellEnd"/>
      <w:r w:rsidRPr="00E474D7">
        <w:rPr>
          <w:lang w:val="en-GB"/>
        </w:rPr>
        <w:t>.</w:t>
      </w:r>
    </w:p>
    <w:p w14:paraId="0957126A" w14:textId="77777777" w:rsidR="00E474D7" w:rsidRPr="00E474D7" w:rsidRDefault="00E474D7" w:rsidP="00E474D7">
      <w:pPr>
        <w:rPr>
          <w:b/>
          <w:bCs/>
          <w:lang w:val="it-IT"/>
        </w:rPr>
      </w:pPr>
      <w:r w:rsidRPr="00E474D7">
        <w:rPr>
          <w:b/>
          <w:bCs/>
          <w:lang w:val="it-IT"/>
        </w:rPr>
        <w:t>Šta je potrebno za promenu pretežne delatnosti?</w:t>
      </w:r>
    </w:p>
    <w:p w14:paraId="6C6A2F0B" w14:textId="77B165E9" w:rsidR="00E474D7" w:rsidRPr="00E474D7" w:rsidRDefault="00E474D7" w:rsidP="00E474D7">
      <w:pPr>
        <w:rPr>
          <w:lang w:val="it-IT"/>
        </w:rPr>
      </w:pPr>
      <w:r w:rsidRPr="00E474D7">
        <w:rPr>
          <w:lang w:val="it-IT"/>
        </w:rPr>
        <w:t>Da biste uspešno izvršili promenu, potrebno je pripremiti sledeću dokumentaciju:</w:t>
      </w:r>
    </w:p>
    <w:p w14:paraId="5284DA59" w14:textId="77777777" w:rsidR="00E474D7" w:rsidRPr="00E474D7" w:rsidRDefault="00E474D7" w:rsidP="00E474D7">
      <w:pPr>
        <w:pStyle w:val="ListParagraph"/>
        <w:numPr>
          <w:ilvl w:val="0"/>
          <w:numId w:val="1"/>
        </w:numPr>
        <w:rPr>
          <w:lang w:val="it-IT"/>
        </w:rPr>
      </w:pPr>
      <w:r w:rsidRPr="00E474D7">
        <w:rPr>
          <w:b/>
          <w:bCs/>
          <w:lang w:val="it-IT"/>
        </w:rPr>
        <w:t xml:space="preserve">registraciona prijava promene pretežne delatnosti </w:t>
      </w:r>
      <w:r w:rsidRPr="00E474D7">
        <w:rPr>
          <w:lang w:val="it-IT"/>
        </w:rPr>
        <w:t>(Obavezni podaci + dodatak 04),</w:t>
      </w:r>
    </w:p>
    <w:p w14:paraId="2D11D9D5" w14:textId="77777777" w:rsidR="00E474D7" w:rsidRPr="00E474D7" w:rsidRDefault="00E474D7" w:rsidP="00E474D7">
      <w:pPr>
        <w:numPr>
          <w:ilvl w:val="0"/>
          <w:numId w:val="1"/>
        </w:numPr>
        <w:rPr>
          <w:lang w:val="it-IT"/>
        </w:rPr>
      </w:pPr>
      <w:r w:rsidRPr="00E474D7">
        <w:rPr>
          <w:b/>
          <w:bCs/>
          <w:lang w:val="it-IT"/>
        </w:rPr>
        <w:t>Odluka nadležnog organa o promeni pretežne delatnosti:</w:t>
      </w:r>
      <w:r w:rsidRPr="00E474D7">
        <w:rPr>
          <w:lang w:val="it-IT"/>
        </w:rPr>
        <w:t xml:space="preserve"> Ovo je odluka uprave firme koja potvrđuje novu pretežnu delatnost.</w:t>
      </w:r>
    </w:p>
    <w:p w14:paraId="20DE9427" w14:textId="77777777" w:rsidR="00E474D7" w:rsidRDefault="00E474D7" w:rsidP="00E474D7">
      <w:pPr>
        <w:numPr>
          <w:ilvl w:val="0"/>
          <w:numId w:val="1"/>
        </w:numPr>
        <w:rPr>
          <w:lang w:val="it-IT"/>
        </w:rPr>
      </w:pPr>
      <w:r w:rsidRPr="00E474D7">
        <w:rPr>
          <w:b/>
          <w:bCs/>
          <w:lang w:val="it-IT"/>
        </w:rPr>
        <w:t>Dokaz o uplati naknade:</w:t>
      </w:r>
      <w:r w:rsidRPr="00E474D7">
        <w:rPr>
          <w:lang w:val="it-IT"/>
        </w:rPr>
        <w:t xml:space="preserve"> Potrebno je izvršiti uplatu propisane takse za registraciju promene.</w:t>
      </w:r>
    </w:p>
    <w:p w14:paraId="37896BB4" w14:textId="2DC175A8" w:rsidR="00E474D7" w:rsidRPr="00E474D7" w:rsidRDefault="00E474D7" w:rsidP="00E474D7">
      <w:pPr>
        <w:rPr>
          <w:lang w:val="it-IT"/>
        </w:rPr>
      </w:pPr>
      <w:r>
        <w:rPr>
          <w:lang w:val="it-IT"/>
        </w:rPr>
        <w:t xml:space="preserve">Prema pravilima Agencije za privredne registre, kako se navodi, </w:t>
      </w:r>
      <w:r w:rsidRPr="00E474D7">
        <w:rPr>
          <w:lang w:val="it-IT"/>
        </w:rPr>
        <w:t xml:space="preserve">Društvo </w:t>
      </w:r>
      <w:r>
        <w:rPr>
          <w:lang w:val="it-IT"/>
        </w:rPr>
        <w:t>pored</w:t>
      </w:r>
      <w:r w:rsidRPr="00E474D7">
        <w:rPr>
          <w:lang w:val="it-IT"/>
        </w:rPr>
        <w:t xml:space="preserve"> pretežn</w:t>
      </w:r>
      <w:r>
        <w:rPr>
          <w:lang w:val="it-IT"/>
        </w:rPr>
        <w:t>e</w:t>
      </w:r>
      <w:r w:rsidRPr="00E474D7">
        <w:rPr>
          <w:lang w:val="it-IT"/>
        </w:rPr>
        <w:t xml:space="preserve"> delatnost</w:t>
      </w:r>
      <w:r>
        <w:rPr>
          <w:lang w:val="it-IT"/>
        </w:rPr>
        <w:t>i</w:t>
      </w:r>
      <w:r w:rsidRPr="00E474D7">
        <w:rPr>
          <w:lang w:val="it-IT"/>
        </w:rPr>
        <w:t xml:space="preserve"> koja se registruje, može obavljati i sve druge delatnosti koje nisu zakonom zabranjene nezavisno od toga da li su određene osnivačkim aktom, odnosno statutom.</w:t>
      </w:r>
      <w:r>
        <w:rPr>
          <w:lang w:val="it-IT"/>
        </w:rPr>
        <w:t xml:space="preserve"> </w:t>
      </w:r>
    </w:p>
    <w:p w14:paraId="15E6527E" w14:textId="77777777" w:rsidR="00E474D7" w:rsidRPr="00E474D7" w:rsidRDefault="00E474D7" w:rsidP="00E474D7">
      <w:pPr>
        <w:rPr>
          <w:b/>
          <w:bCs/>
          <w:lang w:val="it-IT"/>
        </w:rPr>
      </w:pPr>
      <w:r w:rsidRPr="00E474D7">
        <w:rPr>
          <w:b/>
          <w:bCs/>
          <w:lang w:val="it-IT"/>
        </w:rPr>
        <w:t>Postupak promene pretežne delatnosti</w:t>
      </w:r>
    </w:p>
    <w:p w14:paraId="3FF779B3" w14:textId="77777777" w:rsidR="00E474D7" w:rsidRPr="00E474D7" w:rsidRDefault="00E474D7" w:rsidP="00E474D7">
      <w:pPr>
        <w:numPr>
          <w:ilvl w:val="0"/>
          <w:numId w:val="2"/>
        </w:numPr>
        <w:rPr>
          <w:lang w:val="it-IT"/>
        </w:rPr>
      </w:pPr>
      <w:r w:rsidRPr="00E474D7">
        <w:rPr>
          <w:b/>
          <w:bCs/>
          <w:lang w:val="it-IT"/>
        </w:rPr>
        <w:t>Popunjavanje obrazaca:</w:t>
      </w:r>
      <w:r w:rsidRPr="00E474D7">
        <w:rPr>
          <w:lang w:val="it-IT"/>
        </w:rPr>
        <w:t xml:space="preserve"> Tačno i precizno popunite registracionu prijavu i druge potrebne obrasce.</w:t>
      </w:r>
    </w:p>
    <w:p w14:paraId="14049E46" w14:textId="77777777" w:rsidR="00E474D7" w:rsidRPr="00E474D7" w:rsidRDefault="00E474D7" w:rsidP="00E474D7">
      <w:pPr>
        <w:numPr>
          <w:ilvl w:val="0"/>
          <w:numId w:val="2"/>
        </w:numPr>
        <w:rPr>
          <w:lang w:val="it-IT"/>
        </w:rPr>
      </w:pPr>
      <w:r w:rsidRPr="00E474D7">
        <w:rPr>
          <w:b/>
          <w:bCs/>
          <w:lang w:val="it-IT"/>
        </w:rPr>
        <w:t>Donošenje odluke:</w:t>
      </w:r>
      <w:r w:rsidRPr="00E474D7">
        <w:rPr>
          <w:lang w:val="it-IT"/>
        </w:rPr>
        <w:t xml:space="preserve"> Organ upravljanja donosi odluku o promeni pretežne delatnosti.</w:t>
      </w:r>
    </w:p>
    <w:p w14:paraId="10389988" w14:textId="77777777" w:rsidR="00E474D7" w:rsidRPr="00E474D7" w:rsidRDefault="00E474D7" w:rsidP="00E474D7">
      <w:pPr>
        <w:numPr>
          <w:ilvl w:val="0"/>
          <w:numId w:val="2"/>
        </w:numPr>
        <w:rPr>
          <w:lang w:val="en-GB"/>
        </w:rPr>
      </w:pPr>
      <w:proofErr w:type="spellStart"/>
      <w:r w:rsidRPr="00E474D7">
        <w:rPr>
          <w:b/>
          <w:bCs/>
          <w:lang w:val="en-GB"/>
        </w:rPr>
        <w:t>Uplata</w:t>
      </w:r>
      <w:proofErr w:type="spellEnd"/>
      <w:r w:rsidRPr="00E474D7">
        <w:rPr>
          <w:b/>
          <w:bCs/>
          <w:lang w:val="en-GB"/>
        </w:rPr>
        <w:t xml:space="preserve"> </w:t>
      </w:r>
      <w:proofErr w:type="spellStart"/>
      <w:r w:rsidRPr="00E474D7">
        <w:rPr>
          <w:b/>
          <w:bCs/>
          <w:lang w:val="en-GB"/>
        </w:rPr>
        <w:t>takse</w:t>
      </w:r>
      <w:proofErr w:type="spellEnd"/>
      <w:r w:rsidRPr="00E474D7">
        <w:rPr>
          <w:b/>
          <w:bCs/>
          <w:lang w:val="en-GB"/>
        </w:rPr>
        <w:t>:</w:t>
      </w:r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Izvršite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uplatu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propisane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takse</w:t>
      </w:r>
      <w:proofErr w:type="spellEnd"/>
      <w:r w:rsidRPr="00E474D7">
        <w:rPr>
          <w:lang w:val="en-GB"/>
        </w:rPr>
        <w:t>.</w:t>
      </w:r>
    </w:p>
    <w:p w14:paraId="6666AF6D" w14:textId="77777777" w:rsidR="00E474D7" w:rsidRPr="00E474D7" w:rsidRDefault="00E474D7" w:rsidP="00E474D7">
      <w:pPr>
        <w:numPr>
          <w:ilvl w:val="0"/>
          <w:numId w:val="2"/>
        </w:numPr>
        <w:rPr>
          <w:lang w:val="nb-NO"/>
        </w:rPr>
      </w:pPr>
      <w:r w:rsidRPr="00E474D7">
        <w:rPr>
          <w:b/>
          <w:bCs/>
          <w:lang w:val="nb-NO"/>
        </w:rPr>
        <w:t>Podnošenje prijave:</w:t>
      </w:r>
      <w:r w:rsidRPr="00E474D7">
        <w:rPr>
          <w:lang w:val="nb-NO"/>
        </w:rPr>
        <w:t xml:space="preserve"> Predajte kompletnu dokumentaciju APR-u.</w:t>
      </w:r>
    </w:p>
    <w:p w14:paraId="11D4653B" w14:textId="5B60CD23" w:rsidR="00E474D7" w:rsidRDefault="00E474D7" w:rsidP="00E474D7">
      <w:pPr>
        <w:numPr>
          <w:ilvl w:val="0"/>
          <w:numId w:val="2"/>
        </w:numPr>
        <w:rPr>
          <w:lang w:val="nb-NO"/>
        </w:rPr>
      </w:pPr>
      <w:r w:rsidRPr="00E474D7">
        <w:rPr>
          <w:b/>
          <w:bCs/>
          <w:lang w:val="nb-NO"/>
        </w:rPr>
        <w:t>Dobijanje rešenja:</w:t>
      </w:r>
      <w:r w:rsidRPr="00E474D7">
        <w:rPr>
          <w:lang w:val="nb-NO"/>
        </w:rPr>
        <w:t xml:space="preserve"> Nakon uspešne registracije, dobićete rešenje o upisu promene.</w:t>
      </w:r>
    </w:p>
    <w:p w14:paraId="4C9946C9" w14:textId="3A866B86" w:rsidR="00E474D7" w:rsidRPr="00E474D7" w:rsidRDefault="00E474D7" w:rsidP="00E474D7">
      <w:pPr>
        <w:pStyle w:val="IntenseQuote"/>
        <w:ind w:left="720"/>
        <w:jc w:val="left"/>
        <w:rPr>
          <w:i w:val="0"/>
          <w:iCs w:val="0"/>
          <w:lang w:val="nb-NO"/>
        </w:rPr>
      </w:pPr>
      <w:r w:rsidRPr="00E474D7">
        <w:rPr>
          <w:i w:val="0"/>
          <w:iCs w:val="0"/>
          <w:lang w:val="nb-NO"/>
        </w:rPr>
        <w:t xml:space="preserve">Promenu </w:t>
      </w:r>
      <w:r>
        <w:rPr>
          <w:i w:val="0"/>
          <w:iCs w:val="0"/>
          <w:lang w:val="nb-NO"/>
        </w:rPr>
        <w:t>prete</w:t>
      </w:r>
      <w:r>
        <w:rPr>
          <w:i w:val="0"/>
          <w:iCs w:val="0"/>
        </w:rPr>
        <w:t xml:space="preserve">žne delatnosti </w:t>
      </w:r>
      <w:r w:rsidRPr="00E474D7">
        <w:rPr>
          <w:i w:val="0"/>
          <w:iCs w:val="0"/>
          <w:lang w:val="nb-NO"/>
        </w:rPr>
        <w:t xml:space="preserve">društva možete izvršiti i </w:t>
      </w:r>
      <w:r w:rsidRPr="00E474D7">
        <w:rPr>
          <w:b/>
          <w:bCs/>
          <w:i w:val="0"/>
          <w:iCs w:val="0"/>
          <w:lang w:val="nb-NO"/>
        </w:rPr>
        <w:t>online</w:t>
      </w:r>
      <w:r w:rsidRPr="00E474D7">
        <w:rPr>
          <w:i w:val="0"/>
          <w:iCs w:val="0"/>
          <w:lang w:val="nb-NO"/>
        </w:rPr>
        <w:t xml:space="preserve"> putem posebnog informacionog sistema APR-a bez odlaska na šalter. Za više detalja kontaktirajte nas na office@alibris.rs</w:t>
      </w:r>
    </w:p>
    <w:p w14:paraId="7572B511" w14:textId="77777777" w:rsidR="00E474D7" w:rsidRPr="00E474D7" w:rsidRDefault="00E474D7" w:rsidP="00E474D7">
      <w:pPr>
        <w:rPr>
          <w:lang w:val="nb-NO"/>
        </w:rPr>
      </w:pPr>
    </w:p>
    <w:p w14:paraId="1C3C4C05" w14:textId="77777777" w:rsidR="00E474D7" w:rsidRPr="00E474D7" w:rsidRDefault="00E474D7" w:rsidP="00E474D7">
      <w:pPr>
        <w:rPr>
          <w:b/>
          <w:bCs/>
          <w:lang w:val="nb-NO"/>
        </w:rPr>
      </w:pPr>
      <w:r w:rsidRPr="00E474D7">
        <w:rPr>
          <w:b/>
          <w:bCs/>
          <w:lang w:val="nb-NO"/>
        </w:rPr>
        <w:t>Važne napomene</w:t>
      </w:r>
    </w:p>
    <w:p w14:paraId="503D2F83" w14:textId="675DCAEB" w:rsidR="00E474D7" w:rsidRPr="00E474D7" w:rsidRDefault="00E474D7" w:rsidP="009D418E">
      <w:pPr>
        <w:numPr>
          <w:ilvl w:val="0"/>
          <w:numId w:val="3"/>
        </w:numPr>
        <w:rPr>
          <w:lang w:val="nb-NO"/>
        </w:rPr>
      </w:pPr>
      <w:r w:rsidRPr="00E474D7">
        <w:rPr>
          <w:b/>
          <w:bCs/>
          <w:lang w:val="nb-NO"/>
        </w:rPr>
        <w:t>Šifra delatnosti:</w:t>
      </w:r>
      <w:r w:rsidRPr="00E474D7">
        <w:rPr>
          <w:lang w:val="nb-NO"/>
        </w:rPr>
        <w:t xml:space="preserve"> Prilikom promene, potrebno je odabrati novu šifru delatnosti koja tačno opisuje vašu delatnost. Šifre možete pronaći u </w:t>
      </w:r>
      <w:r w:rsidRPr="00E474D7">
        <w:rPr>
          <w:lang w:val="nb-NO"/>
        </w:rPr>
        <w:t>Uredbi o</w:t>
      </w:r>
      <w:r w:rsidRPr="00E474D7">
        <w:rPr>
          <w:lang w:val="nb-NO"/>
        </w:rPr>
        <w:t xml:space="preserve"> klasifikaciji delatnosti</w:t>
      </w:r>
      <w:r w:rsidRPr="00E474D7">
        <w:rPr>
          <w:lang w:val="nb-NO"/>
        </w:rPr>
        <w:t xml:space="preserve"> </w:t>
      </w:r>
      <w:r w:rsidRPr="00E474D7">
        <w:rPr>
          <w:i/>
          <w:iCs/>
          <w:lang w:val="nb-NO"/>
        </w:rPr>
        <w:t>("Sl. glasnik RS", br. 54/2010)</w:t>
      </w:r>
    </w:p>
    <w:p w14:paraId="56548A4F" w14:textId="6E013045" w:rsidR="00E474D7" w:rsidRPr="00E474D7" w:rsidRDefault="00E474D7" w:rsidP="00E474D7">
      <w:pPr>
        <w:numPr>
          <w:ilvl w:val="0"/>
          <w:numId w:val="3"/>
        </w:numPr>
        <w:rPr>
          <w:lang w:val="en-GB"/>
        </w:rPr>
      </w:pPr>
      <w:proofErr w:type="spellStart"/>
      <w:r w:rsidRPr="00E474D7">
        <w:rPr>
          <w:b/>
          <w:bCs/>
          <w:lang w:val="en-GB"/>
        </w:rPr>
        <w:t>Usklađivanje</w:t>
      </w:r>
      <w:proofErr w:type="spellEnd"/>
      <w:r w:rsidRPr="00E474D7">
        <w:rPr>
          <w:b/>
          <w:bCs/>
          <w:lang w:val="en-GB"/>
        </w:rPr>
        <w:t xml:space="preserve"> </w:t>
      </w:r>
      <w:proofErr w:type="spellStart"/>
      <w:r w:rsidRPr="00E474D7">
        <w:rPr>
          <w:b/>
          <w:bCs/>
          <w:lang w:val="en-GB"/>
        </w:rPr>
        <w:t>statuta</w:t>
      </w:r>
      <w:proofErr w:type="spellEnd"/>
      <w:r w:rsidRPr="00E474D7">
        <w:rPr>
          <w:b/>
          <w:bCs/>
          <w:lang w:val="en-GB"/>
        </w:rPr>
        <w:t>:</w:t>
      </w:r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Ukoliko</w:t>
      </w:r>
      <w:proofErr w:type="spellEnd"/>
      <w:r w:rsidRPr="00E474D7">
        <w:rPr>
          <w:lang w:val="en-GB"/>
        </w:rPr>
        <w:t xml:space="preserve"> je </w:t>
      </w:r>
      <w:proofErr w:type="spellStart"/>
      <w:r w:rsidRPr="00E474D7">
        <w:rPr>
          <w:lang w:val="en-GB"/>
        </w:rPr>
        <w:t>potrebno</w:t>
      </w:r>
      <w:proofErr w:type="spellEnd"/>
      <w:r w:rsidRPr="00E474D7">
        <w:rPr>
          <w:lang w:val="en-GB"/>
        </w:rPr>
        <w:t xml:space="preserve">, </w:t>
      </w:r>
      <w:proofErr w:type="spellStart"/>
      <w:r w:rsidRPr="00E474D7">
        <w:rPr>
          <w:lang w:val="en-GB"/>
        </w:rPr>
        <w:t>izvršite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izmene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statuta</w:t>
      </w:r>
      <w:proofErr w:type="spellEnd"/>
      <w:r w:rsidRPr="00E474D7">
        <w:rPr>
          <w:lang w:val="en-GB"/>
        </w:rPr>
        <w:t xml:space="preserve"> kako bi se </w:t>
      </w:r>
      <w:proofErr w:type="spellStart"/>
      <w:r w:rsidRPr="00E474D7">
        <w:rPr>
          <w:lang w:val="en-GB"/>
        </w:rPr>
        <w:t>uskladio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sa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novom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delatnošću</w:t>
      </w:r>
      <w:proofErr w:type="spellEnd"/>
      <w:r w:rsidRPr="00E474D7">
        <w:rPr>
          <w:lang w:val="en-GB"/>
        </w:rPr>
        <w:t>.</w:t>
      </w:r>
    </w:p>
    <w:p w14:paraId="044ACAC0" w14:textId="77777777" w:rsidR="00E474D7" w:rsidRPr="00E474D7" w:rsidRDefault="00E474D7" w:rsidP="00E474D7">
      <w:pPr>
        <w:numPr>
          <w:ilvl w:val="0"/>
          <w:numId w:val="3"/>
        </w:numPr>
        <w:rPr>
          <w:lang w:val="en-GB"/>
        </w:rPr>
      </w:pPr>
      <w:proofErr w:type="spellStart"/>
      <w:r w:rsidRPr="00E474D7">
        <w:rPr>
          <w:b/>
          <w:bCs/>
          <w:lang w:val="en-GB"/>
        </w:rPr>
        <w:t>Dozvole</w:t>
      </w:r>
      <w:proofErr w:type="spellEnd"/>
      <w:r w:rsidRPr="00E474D7">
        <w:rPr>
          <w:b/>
          <w:bCs/>
          <w:lang w:val="en-GB"/>
        </w:rPr>
        <w:t xml:space="preserve"> i </w:t>
      </w:r>
      <w:proofErr w:type="spellStart"/>
      <w:r w:rsidRPr="00E474D7">
        <w:rPr>
          <w:b/>
          <w:bCs/>
          <w:lang w:val="en-GB"/>
        </w:rPr>
        <w:t>saglasnosti</w:t>
      </w:r>
      <w:proofErr w:type="spellEnd"/>
      <w:r w:rsidRPr="00E474D7">
        <w:rPr>
          <w:b/>
          <w:bCs/>
          <w:lang w:val="en-GB"/>
        </w:rPr>
        <w:t>:</w:t>
      </w:r>
      <w:r w:rsidRPr="00E474D7">
        <w:rPr>
          <w:lang w:val="en-GB"/>
        </w:rPr>
        <w:t xml:space="preserve"> Ako je za </w:t>
      </w:r>
      <w:proofErr w:type="spellStart"/>
      <w:r w:rsidRPr="00E474D7">
        <w:rPr>
          <w:lang w:val="en-GB"/>
        </w:rPr>
        <w:t>novu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delatnost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potrebna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posebna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dozvola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ili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saglasnost</w:t>
      </w:r>
      <w:proofErr w:type="spellEnd"/>
      <w:r w:rsidRPr="00E474D7">
        <w:rPr>
          <w:lang w:val="en-GB"/>
        </w:rPr>
        <w:t xml:space="preserve">, </w:t>
      </w:r>
      <w:proofErr w:type="spellStart"/>
      <w:r w:rsidRPr="00E474D7">
        <w:rPr>
          <w:lang w:val="en-GB"/>
        </w:rPr>
        <w:t>priložite</w:t>
      </w:r>
      <w:proofErr w:type="spellEnd"/>
      <w:r w:rsidRPr="00E474D7">
        <w:rPr>
          <w:lang w:val="en-GB"/>
        </w:rPr>
        <w:t xml:space="preserve"> je </w:t>
      </w:r>
      <w:proofErr w:type="spellStart"/>
      <w:r w:rsidRPr="00E474D7">
        <w:rPr>
          <w:lang w:val="en-GB"/>
        </w:rPr>
        <w:t>uz</w:t>
      </w:r>
      <w:proofErr w:type="spellEnd"/>
      <w:r w:rsidRPr="00E474D7">
        <w:rPr>
          <w:lang w:val="en-GB"/>
        </w:rPr>
        <w:t xml:space="preserve"> </w:t>
      </w:r>
      <w:proofErr w:type="spellStart"/>
      <w:r w:rsidRPr="00E474D7">
        <w:rPr>
          <w:lang w:val="en-GB"/>
        </w:rPr>
        <w:t>dokumentaciju</w:t>
      </w:r>
      <w:proofErr w:type="spellEnd"/>
      <w:r w:rsidRPr="00E474D7">
        <w:rPr>
          <w:lang w:val="en-GB"/>
        </w:rPr>
        <w:t>.</w:t>
      </w:r>
    </w:p>
    <w:p w14:paraId="4450D741" w14:textId="77777777" w:rsidR="00E474D7" w:rsidRPr="00E474D7" w:rsidRDefault="00E474D7" w:rsidP="00E474D7">
      <w:pPr>
        <w:rPr>
          <w:b/>
          <w:bCs/>
          <w:lang w:val="it-IT"/>
        </w:rPr>
      </w:pPr>
      <w:r w:rsidRPr="00E474D7">
        <w:rPr>
          <w:b/>
          <w:bCs/>
          <w:lang w:val="it-IT"/>
        </w:rPr>
        <w:lastRenderedPageBreak/>
        <w:t>Zašto je važno promeniti pretežnu delatnost?</w:t>
      </w:r>
    </w:p>
    <w:p w14:paraId="6C5EB898" w14:textId="77777777" w:rsidR="00E474D7" w:rsidRPr="00E474D7" w:rsidRDefault="00E474D7" w:rsidP="00E474D7">
      <w:pPr>
        <w:numPr>
          <w:ilvl w:val="0"/>
          <w:numId w:val="4"/>
        </w:numPr>
        <w:rPr>
          <w:lang w:val="it-IT"/>
        </w:rPr>
      </w:pPr>
      <w:r w:rsidRPr="00E474D7">
        <w:rPr>
          <w:b/>
          <w:bCs/>
          <w:lang w:val="it-IT"/>
        </w:rPr>
        <w:t>Tačno prikazivanje poslovanja:</w:t>
      </w:r>
      <w:r w:rsidRPr="00E474D7">
        <w:rPr>
          <w:lang w:val="it-IT"/>
        </w:rPr>
        <w:t xml:space="preserve"> Promena pretežne delatnosti omogućava tačniji prikaz poslovanja prema državnim organima i poslovnim partnerima.</w:t>
      </w:r>
    </w:p>
    <w:p w14:paraId="08DC9336" w14:textId="77777777" w:rsidR="00E474D7" w:rsidRPr="00E474D7" w:rsidRDefault="00E474D7" w:rsidP="00E474D7">
      <w:pPr>
        <w:numPr>
          <w:ilvl w:val="0"/>
          <w:numId w:val="4"/>
        </w:numPr>
        <w:rPr>
          <w:lang w:val="it-IT"/>
        </w:rPr>
      </w:pPr>
      <w:r w:rsidRPr="00E474D7">
        <w:rPr>
          <w:b/>
          <w:bCs/>
          <w:lang w:val="it-IT"/>
        </w:rPr>
        <w:t>Olakšavanje poslovanja:</w:t>
      </w:r>
      <w:r w:rsidRPr="00E474D7">
        <w:rPr>
          <w:lang w:val="it-IT"/>
        </w:rPr>
        <w:t xml:space="preserve"> Tačno određena delatnost može olakšati pristup određenim podsticajima ili olakšicama.</w:t>
      </w:r>
    </w:p>
    <w:p w14:paraId="110838FD" w14:textId="77777777" w:rsidR="00E474D7" w:rsidRDefault="00E474D7" w:rsidP="00E474D7">
      <w:pPr>
        <w:numPr>
          <w:ilvl w:val="0"/>
          <w:numId w:val="4"/>
        </w:numPr>
        <w:rPr>
          <w:lang w:val="it-IT"/>
        </w:rPr>
      </w:pPr>
      <w:r w:rsidRPr="00E474D7">
        <w:rPr>
          <w:b/>
          <w:bCs/>
          <w:lang w:val="it-IT"/>
        </w:rPr>
        <w:t>Usaglašavanje sa zakonskim propisima:</w:t>
      </w:r>
      <w:r w:rsidRPr="00E474D7">
        <w:rPr>
          <w:lang w:val="it-IT"/>
        </w:rPr>
        <w:t xml:space="preserve"> Promena pretežne delatnosti je često zakonski obavezna u slučaju značajnih promjena u poslovanju.</w:t>
      </w:r>
    </w:p>
    <w:p w14:paraId="470DD757" w14:textId="4A4794DB" w:rsidR="00E474D7" w:rsidRPr="00E474D7" w:rsidRDefault="00E474D7" w:rsidP="00E474D7">
      <w:pPr>
        <w:numPr>
          <w:ilvl w:val="0"/>
          <w:numId w:val="4"/>
        </w:numPr>
        <w:rPr>
          <w:lang w:val="nb-NO"/>
        </w:rPr>
      </w:pPr>
      <w:r>
        <w:rPr>
          <w:b/>
          <w:bCs/>
          <w:lang w:val="it-IT"/>
        </w:rPr>
        <w:t>Odlazak u poslovnu banku.</w:t>
      </w:r>
      <w:r>
        <w:rPr>
          <w:lang w:val="it-IT"/>
        </w:rPr>
        <w:t xml:space="preserve"> </w:t>
      </w:r>
      <w:r w:rsidRPr="00E474D7">
        <w:rPr>
          <w:lang w:val="it-IT"/>
        </w:rPr>
        <w:t>Nakon promene poslovnih podataka, obavezno idite u svo</w:t>
      </w:r>
      <w:r>
        <w:rPr>
          <w:lang w:val="it-IT"/>
        </w:rPr>
        <w:t xml:space="preserve">ju banku i ažurirajte podatke, kako biste izbegli blokadu računa. </w:t>
      </w:r>
      <w:r w:rsidRPr="00E474D7">
        <w:rPr>
          <w:lang w:val="nb-NO"/>
        </w:rPr>
        <w:t>Neke banke daju rok od svega 3 dana od dana n</w:t>
      </w:r>
      <w:r>
        <w:rPr>
          <w:lang w:val="nb-NO"/>
        </w:rPr>
        <w:t>astupanje promene.</w:t>
      </w:r>
    </w:p>
    <w:p w14:paraId="2BADC8BA" w14:textId="21F522E0" w:rsidR="00E474D7" w:rsidRPr="00E474D7" w:rsidRDefault="00E474D7" w:rsidP="00E474D7">
      <w:pPr>
        <w:rPr>
          <w:lang w:val="nb-NO"/>
        </w:rPr>
      </w:pPr>
      <w:r w:rsidRPr="00E474D7">
        <w:rPr>
          <w:b/>
          <w:bCs/>
          <w:lang w:val="nb-NO"/>
        </w:rPr>
        <w:t>Savet:</w:t>
      </w:r>
      <w:r w:rsidRPr="00E474D7">
        <w:rPr>
          <w:lang w:val="nb-NO"/>
        </w:rPr>
        <w:t xml:space="preserve"> Ukoliko niste sigurni u sve korake ili vam je potrebna dodatna pomoć, </w:t>
      </w:r>
      <w:r w:rsidRPr="00E474D7">
        <w:rPr>
          <w:lang w:val="nb-NO"/>
        </w:rPr>
        <w:t xml:space="preserve">slobodno nam se obratite na </w:t>
      </w:r>
      <w:hyperlink r:id="rId5" w:history="1">
        <w:r w:rsidRPr="00E474D7">
          <w:rPr>
            <w:rStyle w:val="Hyperlink"/>
            <w:lang w:val="nb-NO"/>
          </w:rPr>
          <w:t>office@alibris.rs</w:t>
        </w:r>
      </w:hyperlink>
    </w:p>
    <w:p w14:paraId="540A8F36" w14:textId="1DA4DE0E" w:rsidR="00E474D7" w:rsidRPr="0091214A" w:rsidRDefault="00E474D7" w:rsidP="00E474D7">
      <w:r>
        <w:rPr>
          <w:lang w:val="it-IT"/>
        </w:rPr>
        <w:t xml:space="preserve">Odluku o promeni </w:t>
      </w:r>
      <w:r>
        <w:rPr>
          <w:lang w:val="it-IT"/>
        </w:rPr>
        <w:t>pretežne delatnosti</w:t>
      </w:r>
      <w:r>
        <w:rPr>
          <w:lang w:val="it-IT"/>
        </w:rPr>
        <w:t xml:space="preserve"> mo</w:t>
      </w:r>
      <w:r>
        <w:t xml:space="preserve">žete preuzeti </w:t>
      </w:r>
      <w:r w:rsidRPr="00773D80">
        <w:rPr>
          <w:b/>
          <w:bCs/>
          <w:u w:val="single"/>
        </w:rPr>
        <w:t>ovde.</w:t>
      </w:r>
    </w:p>
    <w:p w14:paraId="3827EA97" w14:textId="77777777" w:rsidR="00646AA9" w:rsidRDefault="00646AA9"/>
    <w:sectPr w:rsidR="00646A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1CA5"/>
    <w:multiLevelType w:val="multilevel"/>
    <w:tmpl w:val="23E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07DBD"/>
    <w:multiLevelType w:val="multilevel"/>
    <w:tmpl w:val="0CB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44478"/>
    <w:multiLevelType w:val="multilevel"/>
    <w:tmpl w:val="CE3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361E3"/>
    <w:multiLevelType w:val="multilevel"/>
    <w:tmpl w:val="30C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4098A"/>
    <w:multiLevelType w:val="multilevel"/>
    <w:tmpl w:val="540A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87">
    <w:abstractNumId w:val="3"/>
  </w:num>
  <w:num w:numId="2" w16cid:durableId="1328021774">
    <w:abstractNumId w:val="4"/>
  </w:num>
  <w:num w:numId="3" w16cid:durableId="1090392294">
    <w:abstractNumId w:val="1"/>
  </w:num>
  <w:num w:numId="4" w16cid:durableId="882909147">
    <w:abstractNumId w:val="0"/>
  </w:num>
  <w:num w:numId="5" w16cid:durableId="81684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75"/>
    <w:rsid w:val="003E3DFD"/>
    <w:rsid w:val="004F3E01"/>
    <w:rsid w:val="005E6075"/>
    <w:rsid w:val="00646AA9"/>
    <w:rsid w:val="00A1145E"/>
    <w:rsid w:val="00E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496B"/>
  <w15:chartTrackingRefBased/>
  <w15:docId w15:val="{17291D47-42FA-4A57-984D-D4129FE0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75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75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75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75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75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75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75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5E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075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075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5E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075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5E6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75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5E6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7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libri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Mijatovic</dc:creator>
  <cp:keywords/>
  <dc:description/>
  <cp:lastModifiedBy>Masa Mijatovic</cp:lastModifiedBy>
  <cp:revision>2</cp:revision>
  <dcterms:created xsi:type="dcterms:W3CDTF">2024-11-21T12:51:00Z</dcterms:created>
  <dcterms:modified xsi:type="dcterms:W3CDTF">2024-11-21T12:59:00Z</dcterms:modified>
</cp:coreProperties>
</file>